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61C9" w:rsidRPr="009E14AE" w:rsidRDefault="00630BF8" w:rsidP="005D61C9">
      <w:pPr>
        <w:pStyle w:val="NormalWeb"/>
        <w:spacing w:before="0" w:beforeAutospacing="0" w:after="0" w:afterAutospacing="0"/>
        <w:rPr>
          <w:rFonts w:ascii="Arial" w:hAnsi="Arial" w:cs="Arial"/>
        </w:rPr>
      </w:pPr>
      <w:r w:rsidRPr="009E14AE">
        <w:rPr>
          <w:rFonts w:ascii="Arial" w:hAnsi="Arial" w:cs="Arial"/>
          <w:b/>
          <w:bCs/>
          <w:u w:val="single"/>
        </w:rPr>
        <w:t>VISTO:</w:t>
      </w:r>
      <w:r w:rsidR="00DB5DB7" w:rsidRPr="009E14AE">
        <w:rPr>
          <w:rFonts w:ascii="Arial" w:hAnsi="Arial" w:cs="Arial"/>
          <w:b/>
          <w:bCs/>
          <w:u w:val="single"/>
        </w:rPr>
        <w:br/>
      </w:r>
    </w:p>
    <w:p w:rsidR="009E2D73" w:rsidRDefault="009E2D73" w:rsidP="009E2D73">
      <w:pPr>
        <w:shd w:val="clear" w:color="auto" w:fill="FFFFFF"/>
        <w:ind w:firstLine="851"/>
        <w:jc w:val="both"/>
        <w:rPr>
          <w:rFonts w:ascii="Arial" w:hAnsi="Arial" w:cs="Arial"/>
          <w:color w:val="000000"/>
        </w:rPr>
      </w:pPr>
      <w:r w:rsidRPr="0073100D">
        <w:rPr>
          <w:rFonts w:ascii="Arial" w:hAnsi="Arial" w:cs="Arial"/>
          <w:color w:val="000000"/>
        </w:rPr>
        <w:t xml:space="preserve">El Expediente Administrativo Nº </w:t>
      </w:r>
      <w:r w:rsidRPr="0073100D">
        <w:rPr>
          <w:rFonts w:ascii="Arial" w:hAnsi="Arial" w:cs="Arial"/>
          <w:b/>
          <w:color w:val="000000"/>
        </w:rPr>
        <w:t>010/08</w:t>
      </w:r>
      <w:r w:rsidRPr="0073100D">
        <w:rPr>
          <w:rFonts w:ascii="Arial" w:hAnsi="Arial" w:cs="Arial"/>
          <w:color w:val="000000"/>
        </w:rPr>
        <w:t xml:space="preserve"> caratulado: “</w:t>
      </w:r>
      <w:r w:rsidRPr="0073100D">
        <w:rPr>
          <w:rFonts w:ascii="Arial" w:hAnsi="Arial" w:cs="Arial"/>
          <w:b/>
          <w:color w:val="000000"/>
          <w:u w:val="single"/>
        </w:rPr>
        <w:t>N.P. MUSCILLO y LLANOS: SOLICITAN REGULARIZAR SITUACIÓN S/ADQUISICIÓN LOTE MUNICIPA</w:t>
      </w:r>
      <w:r w:rsidRPr="0073100D">
        <w:rPr>
          <w:rFonts w:ascii="Arial" w:hAnsi="Arial" w:cs="Arial"/>
          <w:color w:val="000000"/>
          <w:u w:val="single"/>
        </w:rPr>
        <w:t>L</w:t>
      </w:r>
      <w:r w:rsidRPr="0073100D">
        <w:rPr>
          <w:rFonts w:ascii="Arial" w:hAnsi="Arial" w:cs="Arial"/>
          <w:color w:val="000000"/>
        </w:rPr>
        <w:t>”, en el cual consta nómina de adjudicados beneficiados con lotes de terrenos ubicados en las localidades del Partido de Tornquist y; que han solicitado ser incluidos dentro de la nómina de adjudicatarios de lotes M</w:t>
      </w:r>
      <w:r w:rsidR="000A668E">
        <w:rPr>
          <w:rFonts w:ascii="Arial" w:hAnsi="Arial" w:cs="Arial"/>
          <w:color w:val="000000"/>
        </w:rPr>
        <w:t>unicipales beneficiarios nuevos, y;</w:t>
      </w:r>
    </w:p>
    <w:p w:rsidR="009E2D73" w:rsidRPr="0073100D" w:rsidRDefault="009E2D73" w:rsidP="009E2D73">
      <w:pPr>
        <w:shd w:val="clear" w:color="auto" w:fill="FFFFFF"/>
        <w:ind w:firstLine="851"/>
        <w:jc w:val="both"/>
        <w:rPr>
          <w:rFonts w:ascii="Arial" w:hAnsi="Arial" w:cs="Arial"/>
          <w:color w:val="000000"/>
        </w:rPr>
      </w:pPr>
    </w:p>
    <w:p w:rsidR="00441883" w:rsidRPr="009E14AE" w:rsidRDefault="00630BF8" w:rsidP="005D61C9">
      <w:pPr>
        <w:pStyle w:val="NormalWeb"/>
        <w:spacing w:before="0" w:beforeAutospacing="0" w:after="0" w:afterAutospacing="0"/>
        <w:jc w:val="both"/>
        <w:rPr>
          <w:rFonts w:ascii="Arial" w:hAnsi="Arial" w:cs="Arial"/>
          <w:b/>
          <w:bCs/>
          <w:u w:val="single"/>
        </w:rPr>
      </w:pPr>
      <w:r w:rsidRPr="009E14AE">
        <w:rPr>
          <w:rFonts w:ascii="Arial" w:hAnsi="Arial" w:cs="Arial"/>
          <w:b/>
          <w:bCs/>
          <w:u w:val="single"/>
        </w:rPr>
        <w:t>CONSIDERANDO:</w:t>
      </w:r>
    </w:p>
    <w:p w:rsidR="00441883" w:rsidRPr="009E14AE" w:rsidRDefault="00441883" w:rsidP="005D61C9">
      <w:pPr>
        <w:pStyle w:val="NormalWeb"/>
        <w:spacing w:before="0" w:beforeAutospacing="0" w:after="0" w:afterAutospacing="0"/>
        <w:jc w:val="both"/>
        <w:rPr>
          <w:rFonts w:ascii="Arial" w:hAnsi="Arial" w:cs="Arial"/>
          <w:b/>
          <w:bCs/>
          <w:u w:val="single"/>
        </w:rPr>
      </w:pPr>
    </w:p>
    <w:p w:rsidR="009E2D73" w:rsidRPr="0073100D" w:rsidRDefault="009E2D73" w:rsidP="009E2D73">
      <w:pPr>
        <w:shd w:val="clear" w:color="auto" w:fill="FFFFFF"/>
        <w:ind w:firstLine="851"/>
        <w:jc w:val="both"/>
        <w:rPr>
          <w:rFonts w:ascii="Arial" w:hAnsi="Arial" w:cs="Arial"/>
          <w:color w:val="000000"/>
        </w:rPr>
      </w:pPr>
      <w:r w:rsidRPr="0073100D">
        <w:rPr>
          <w:rFonts w:ascii="Arial" w:hAnsi="Arial" w:cs="Arial"/>
          <w:color w:val="000000"/>
        </w:rPr>
        <w:t>Que el acceso al logro de una vivienda digna es un derecho constitucional normado en el Art. 14 bis 3º párrafo “…</w:t>
      </w:r>
      <w:r w:rsidRPr="0073100D">
        <w:rPr>
          <w:rFonts w:ascii="Arial" w:hAnsi="Arial" w:cs="Arial"/>
          <w:i/>
          <w:color w:val="000000"/>
        </w:rPr>
        <w:t>el acceso a una vivienda digna</w:t>
      </w:r>
      <w:r w:rsidRPr="0073100D">
        <w:rPr>
          <w:rFonts w:ascii="Arial" w:hAnsi="Arial" w:cs="Arial"/>
          <w:color w:val="000000"/>
        </w:rPr>
        <w:t xml:space="preserve">…”. Asimismo la constitución Provincial y sus Arts. 36 inciso 7º que dice “ </w:t>
      </w:r>
      <w:r w:rsidRPr="0073100D">
        <w:rPr>
          <w:rFonts w:ascii="Arial" w:hAnsi="Arial" w:cs="Arial"/>
          <w:i/>
          <w:color w:val="000000"/>
        </w:rPr>
        <w:t>La provincia promoverá el acceso a la vivienda única y la constitución del asiento del hogar como bien de familia; garantizará el acceso a la propiedad de un lote de terreno apto para erigir su vivienda familiar única y de ocupación permanente, a familias radicadas o que se radiquen en el interior de la Provincia, en municipios de hasta 50.000 habitantes, sus localidades o pueblo</w:t>
      </w:r>
      <w:r w:rsidRPr="0073100D">
        <w:rPr>
          <w:rFonts w:ascii="Arial" w:hAnsi="Arial" w:cs="Arial"/>
          <w:color w:val="000000"/>
        </w:rPr>
        <w:t>" y;</w:t>
      </w:r>
    </w:p>
    <w:p w:rsidR="009E2D73" w:rsidRPr="0073100D" w:rsidRDefault="009E2D73" w:rsidP="009E2D73">
      <w:pPr>
        <w:shd w:val="clear" w:color="auto" w:fill="FFFFFF"/>
        <w:ind w:firstLine="851"/>
        <w:jc w:val="both"/>
        <w:rPr>
          <w:rFonts w:ascii="Arial" w:hAnsi="Arial" w:cs="Arial"/>
          <w:color w:val="000000"/>
        </w:rPr>
      </w:pPr>
      <w:r w:rsidRPr="0073100D">
        <w:rPr>
          <w:rFonts w:ascii="Arial" w:hAnsi="Arial" w:cs="Arial"/>
          <w:color w:val="000000"/>
        </w:rPr>
        <w:t>Que dando cumplimiento a la pirámide constitucional, la Ley Orgánica en su Art. 159 inciso “F” de inmuebles en parte de vivienda. Las enajenaciones deben realizarse previa tasación oficial de los bienes y;</w:t>
      </w:r>
    </w:p>
    <w:p w:rsidR="009E2D73" w:rsidRPr="0073100D" w:rsidRDefault="009E2D73" w:rsidP="009E2D73">
      <w:pPr>
        <w:shd w:val="clear" w:color="auto" w:fill="FFFFFF"/>
        <w:ind w:firstLine="851"/>
        <w:jc w:val="both"/>
        <w:rPr>
          <w:rFonts w:ascii="Arial" w:hAnsi="Arial" w:cs="Arial"/>
          <w:color w:val="000000"/>
        </w:rPr>
      </w:pPr>
      <w:r w:rsidRPr="0073100D">
        <w:rPr>
          <w:rFonts w:ascii="Arial" w:hAnsi="Arial" w:cs="Arial"/>
          <w:color w:val="000000"/>
        </w:rPr>
        <w:t>Que habiéndose dado cumplimiento a lo expresado en el párrafo anterior fs. 225/245 y 251/262, realizada por el Banco de la Provincia de Buenos Aires y;</w:t>
      </w:r>
    </w:p>
    <w:p w:rsidR="009E2D73" w:rsidRPr="0073100D" w:rsidRDefault="009E2D73" w:rsidP="009E2D73">
      <w:pPr>
        <w:shd w:val="clear" w:color="auto" w:fill="FFFFFF"/>
        <w:ind w:firstLine="851"/>
        <w:jc w:val="both"/>
        <w:rPr>
          <w:rFonts w:ascii="Arial" w:hAnsi="Arial" w:cs="Arial"/>
          <w:color w:val="000000"/>
        </w:rPr>
      </w:pPr>
      <w:r w:rsidRPr="0073100D">
        <w:rPr>
          <w:rFonts w:ascii="Arial" w:hAnsi="Arial" w:cs="Arial"/>
          <w:color w:val="000000"/>
        </w:rPr>
        <w:t>Que las familias beneficiadas con el presente plan de otorgamiento de terreno para construcción de vivienda única se encuentran, en algunos construidos y otras con principios de ejecución de construcción y;</w:t>
      </w:r>
    </w:p>
    <w:p w:rsidR="009E2D73" w:rsidRPr="0073100D" w:rsidRDefault="009E2D73" w:rsidP="009E2D73">
      <w:pPr>
        <w:shd w:val="clear" w:color="auto" w:fill="FFFFFF"/>
        <w:ind w:firstLine="851"/>
        <w:jc w:val="both"/>
        <w:rPr>
          <w:rFonts w:ascii="Arial" w:hAnsi="Arial" w:cs="Arial"/>
          <w:color w:val="000000"/>
        </w:rPr>
      </w:pPr>
      <w:r w:rsidRPr="0073100D">
        <w:rPr>
          <w:rFonts w:ascii="Arial" w:hAnsi="Arial" w:cs="Arial"/>
          <w:color w:val="000000"/>
        </w:rPr>
        <w:t>Que las familias poseedoras de los lotes de tierra son socio-económicas aptas para obtener éste beneficio, habiendo acreditado ingresos en cada caso y;</w:t>
      </w:r>
    </w:p>
    <w:p w:rsidR="009E2D73" w:rsidRPr="0073100D" w:rsidRDefault="009E2D73" w:rsidP="009E2D73">
      <w:pPr>
        <w:shd w:val="clear" w:color="auto" w:fill="FFFFFF"/>
        <w:ind w:firstLine="851"/>
        <w:jc w:val="both"/>
        <w:rPr>
          <w:rFonts w:ascii="Arial" w:hAnsi="Arial" w:cs="Arial"/>
          <w:color w:val="000000"/>
        </w:rPr>
      </w:pPr>
      <w:r w:rsidRPr="0073100D">
        <w:rPr>
          <w:rFonts w:ascii="Arial" w:hAnsi="Arial" w:cs="Arial"/>
          <w:color w:val="000000"/>
        </w:rPr>
        <w:t>Que a los efectos de poder facilitar un otorgamiento de plazos para el pago de los inmuebles referenciados en el presente expediente, se hace necesario expedir en cada caso en particular una chequera a fin de facilitar el pago y;</w:t>
      </w:r>
    </w:p>
    <w:p w:rsidR="009E2D73" w:rsidRPr="0073100D" w:rsidRDefault="009E2D73" w:rsidP="009E2D73">
      <w:pPr>
        <w:shd w:val="clear" w:color="auto" w:fill="FFFFFF"/>
        <w:ind w:firstLine="851"/>
        <w:jc w:val="both"/>
        <w:rPr>
          <w:rFonts w:ascii="Arial" w:hAnsi="Arial" w:cs="Arial"/>
          <w:color w:val="000000"/>
        </w:rPr>
      </w:pPr>
      <w:r w:rsidRPr="0073100D">
        <w:rPr>
          <w:rFonts w:ascii="Arial" w:hAnsi="Arial" w:cs="Arial"/>
          <w:color w:val="000000"/>
        </w:rPr>
        <w:t>Que de acuerdo a los Arts. 25, 27, 53, 54 y 56 y concordantes de la Ley Orgánica de las Municipalidades, surge que es competencia del Honorable Concejo Deliberante, siendo necesario la presente Ordenanza aprobada por las dos terceras partes del Concejo y;</w:t>
      </w:r>
    </w:p>
    <w:p w:rsidR="00881F93" w:rsidRPr="009E14AE" w:rsidRDefault="00881F93" w:rsidP="00881F93">
      <w:pPr>
        <w:jc w:val="both"/>
        <w:rPr>
          <w:rFonts w:ascii="Arial" w:hAnsi="Arial" w:cs="Arial"/>
        </w:rPr>
      </w:pPr>
    </w:p>
    <w:p w:rsidR="009177A7" w:rsidRPr="009E14AE" w:rsidRDefault="005D61C9" w:rsidP="005D61C9">
      <w:pPr>
        <w:jc w:val="both"/>
        <w:rPr>
          <w:rFonts w:ascii="Arial" w:hAnsi="Arial" w:cs="Arial"/>
          <w:b/>
          <w:u w:val="single"/>
        </w:rPr>
      </w:pPr>
      <w:r w:rsidRPr="009E14AE">
        <w:rPr>
          <w:rFonts w:ascii="Arial" w:hAnsi="Arial" w:cs="Arial"/>
          <w:b/>
          <w:u w:val="single"/>
        </w:rPr>
        <w:t>POR ELLO:</w:t>
      </w:r>
    </w:p>
    <w:p w:rsidR="008730E9" w:rsidRPr="009E14AE" w:rsidRDefault="008730E9" w:rsidP="005D61C9">
      <w:pPr>
        <w:jc w:val="center"/>
        <w:rPr>
          <w:rFonts w:ascii="Arial" w:hAnsi="Arial" w:cs="Arial"/>
          <w:b/>
          <w:bCs/>
        </w:rPr>
      </w:pPr>
    </w:p>
    <w:p w:rsidR="009177A7" w:rsidRPr="009E14AE" w:rsidRDefault="00297E57" w:rsidP="005D61C9">
      <w:pPr>
        <w:jc w:val="center"/>
        <w:rPr>
          <w:rFonts w:ascii="Arial" w:hAnsi="Arial" w:cs="Arial"/>
          <w:b/>
          <w:bCs/>
        </w:rPr>
      </w:pPr>
      <w:r w:rsidRPr="009E14AE">
        <w:rPr>
          <w:rFonts w:ascii="Arial" w:hAnsi="Arial" w:cs="Arial"/>
          <w:b/>
          <w:bCs/>
        </w:rPr>
        <w:t>EL</w:t>
      </w:r>
      <w:r w:rsidR="009177A7" w:rsidRPr="009E14AE">
        <w:rPr>
          <w:rFonts w:ascii="Arial" w:hAnsi="Arial" w:cs="Arial"/>
          <w:b/>
          <w:bCs/>
        </w:rPr>
        <w:t xml:space="preserve"> </w:t>
      </w:r>
      <w:r w:rsidR="005D61C9" w:rsidRPr="009E14AE">
        <w:rPr>
          <w:rFonts w:ascii="Arial" w:hAnsi="Arial" w:cs="Arial"/>
          <w:b/>
          <w:bCs/>
        </w:rPr>
        <w:t>HONORABLE CONCEJO DELIBERANTE</w:t>
      </w:r>
    </w:p>
    <w:p w:rsidR="00097F44" w:rsidRPr="009E14AE" w:rsidRDefault="005D61C9" w:rsidP="005D61C9">
      <w:pPr>
        <w:jc w:val="center"/>
        <w:rPr>
          <w:rFonts w:ascii="Arial" w:hAnsi="Arial" w:cs="Arial"/>
          <w:b/>
        </w:rPr>
      </w:pPr>
      <w:r w:rsidRPr="009E14AE">
        <w:rPr>
          <w:rFonts w:ascii="Arial" w:hAnsi="Arial" w:cs="Arial"/>
          <w:b/>
          <w:bCs/>
        </w:rPr>
        <w:t>En uso de sus facultades, sanciona con fuerza de</w:t>
      </w:r>
    </w:p>
    <w:p w:rsidR="00097F44" w:rsidRPr="009E14AE" w:rsidRDefault="00097F44" w:rsidP="008730E9">
      <w:pPr>
        <w:jc w:val="center"/>
        <w:rPr>
          <w:rFonts w:ascii="Arial" w:hAnsi="Arial" w:cs="Arial"/>
          <w:b/>
          <w:u w:val="single"/>
        </w:rPr>
      </w:pPr>
      <w:r w:rsidRPr="009E14AE">
        <w:rPr>
          <w:rFonts w:ascii="Arial" w:hAnsi="Arial" w:cs="Arial"/>
          <w:b/>
          <w:u w:val="single"/>
        </w:rPr>
        <w:t>ORDENANZA</w:t>
      </w:r>
      <w:r w:rsidR="005D61C9" w:rsidRPr="009E14AE">
        <w:rPr>
          <w:rFonts w:ascii="Arial" w:hAnsi="Arial" w:cs="Arial"/>
          <w:b/>
          <w:u w:val="single"/>
        </w:rPr>
        <w:t xml:space="preserve"> Nº 32</w:t>
      </w:r>
      <w:r w:rsidR="0066243B" w:rsidRPr="009E14AE">
        <w:rPr>
          <w:rFonts w:ascii="Arial" w:hAnsi="Arial" w:cs="Arial"/>
          <w:b/>
          <w:u w:val="single"/>
        </w:rPr>
        <w:t>3</w:t>
      </w:r>
      <w:r w:rsidR="009E2D73">
        <w:rPr>
          <w:rFonts w:ascii="Arial" w:hAnsi="Arial" w:cs="Arial"/>
          <w:b/>
          <w:u w:val="single"/>
        </w:rPr>
        <w:t>7</w:t>
      </w:r>
      <w:r w:rsidR="005D61C9" w:rsidRPr="009E14AE">
        <w:rPr>
          <w:rFonts w:ascii="Arial" w:hAnsi="Arial" w:cs="Arial"/>
          <w:b/>
          <w:u w:val="single"/>
        </w:rPr>
        <w:t>/20</w:t>
      </w:r>
    </w:p>
    <w:p w:rsidR="005D61C9" w:rsidRPr="009E14AE" w:rsidRDefault="005D61C9" w:rsidP="008730E9">
      <w:pPr>
        <w:pStyle w:val="NormalWeb"/>
        <w:spacing w:before="0" w:beforeAutospacing="0" w:after="0" w:afterAutospacing="0"/>
        <w:jc w:val="both"/>
        <w:rPr>
          <w:rFonts w:ascii="Arial" w:hAnsi="Arial" w:cs="Arial"/>
          <w:b/>
          <w:bCs/>
          <w:u w:val="single"/>
        </w:rPr>
      </w:pPr>
    </w:p>
    <w:p w:rsidR="009E2D73" w:rsidRPr="0073100D" w:rsidRDefault="0066243B" w:rsidP="009E2D73">
      <w:pPr>
        <w:shd w:val="clear" w:color="auto" w:fill="FFFFFF"/>
        <w:jc w:val="both"/>
        <w:rPr>
          <w:rFonts w:ascii="Arial" w:hAnsi="Arial" w:cs="Arial"/>
          <w:color w:val="000000"/>
        </w:rPr>
      </w:pPr>
      <w:r w:rsidRPr="009E14AE">
        <w:rPr>
          <w:rFonts w:ascii="Arial" w:hAnsi="Arial" w:cs="Arial"/>
          <w:b/>
          <w:bCs/>
          <w:u w:val="single"/>
        </w:rPr>
        <w:t>ARTÍCULO 1º</w:t>
      </w:r>
      <w:r w:rsidR="00103295" w:rsidRPr="009E14AE">
        <w:rPr>
          <w:rFonts w:ascii="Arial" w:hAnsi="Arial" w:cs="Arial"/>
          <w:b/>
          <w:bCs/>
          <w:u w:val="single"/>
        </w:rPr>
        <w:t>:</w:t>
      </w:r>
      <w:r w:rsidR="008730E9" w:rsidRPr="009E14AE">
        <w:rPr>
          <w:rFonts w:ascii="Arial" w:hAnsi="Arial" w:cs="Arial"/>
        </w:rPr>
        <w:t xml:space="preserve"> </w:t>
      </w:r>
      <w:r w:rsidR="009E2D73" w:rsidRPr="0073100D">
        <w:rPr>
          <w:rFonts w:ascii="Arial" w:hAnsi="Arial" w:cs="Arial"/>
          <w:color w:val="000000"/>
        </w:rPr>
        <w:t>Autorícese al Departamento Ejecutivo a efectuar el cobro del inmueble otorgado a los beneficiarios detallados en el Anexo I, respetando el valor de la tasación informada en dicho anexo, que pasará a formar parte de ésta Ordenanza.-</w:t>
      </w:r>
    </w:p>
    <w:p w:rsidR="009E2D73" w:rsidRPr="0073100D" w:rsidRDefault="009E2D73" w:rsidP="009E2D73">
      <w:pPr>
        <w:shd w:val="clear" w:color="auto" w:fill="FFFFFF"/>
        <w:jc w:val="both"/>
        <w:rPr>
          <w:rFonts w:ascii="Arial" w:hAnsi="Arial" w:cs="Arial"/>
          <w:color w:val="000000"/>
        </w:rPr>
      </w:pPr>
    </w:p>
    <w:p w:rsidR="009E2D73" w:rsidRPr="0073100D" w:rsidRDefault="00256688" w:rsidP="009E2D73">
      <w:pPr>
        <w:shd w:val="clear" w:color="auto" w:fill="FFFFFF"/>
        <w:jc w:val="both"/>
        <w:rPr>
          <w:rFonts w:ascii="Arial" w:hAnsi="Arial" w:cs="Arial"/>
          <w:color w:val="000000"/>
        </w:rPr>
      </w:pPr>
      <w:r>
        <w:rPr>
          <w:rFonts w:ascii="Arial" w:hAnsi="Arial" w:cs="Arial"/>
          <w:b/>
          <w:u w:val="single"/>
        </w:rPr>
        <w:t>ARTÍCULO</w:t>
      </w:r>
      <w:r w:rsidR="009E2D73" w:rsidRPr="0073100D">
        <w:rPr>
          <w:rFonts w:ascii="Arial" w:hAnsi="Arial" w:cs="Arial"/>
          <w:b/>
          <w:color w:val="000000"/>
          <w:u w:val="single"/>
        </w:rPr>
        <w:t xml:space="preserve"> 2º:</w:t>
      </w:r>
      <w:r w:rsidR="009E2D73" w:rsidRPr="0073100D">
        <w:rPr>
          <w:rFonts w:ascii="Arial" w:hAnsi="Arial" w:cs="Arial"/>
          <w:color w:val="000000"/>
        </w:rPr>
        <w:t xml:space="preserve"> Autorícese al Ejecutivo Municipal a que otorgue para el pago, los plazos y cuotas necesarias para cada adjudicatario.-</w:t>
      </w:r>
    </w:p>
    <w:p w:rsidR="009E2D73" w:rsidRPr="0073100D" w:rsidRDefault="009E2D73" w:rsidP="009E2D73">
      <w:pPr>
        <w:shd w:val="clear" w:color="auto" w:fill="FFFFFF"/>
        <w:jc w:val="both"/>
        <w:rPr>
          <w:rFonts w:ascii="Arial" w:hAnsi="Arial" w:cs="Arial"/>
          <w:color w:val="000000"/>
        </w:rPr>
      </w:pPr>
    </w:p>
    <w:p w:rsidR="009E2D73" w:rsidRPr="0073100D" w:rsidRDefault="00256688" w:rsidP="009E2D73">
      <w:pPr>
        <w:jc w:val="both"/>
        <w:rPr>
          <w:rFonts w:ascii="Arial" w:hAnsi="Arial" w:cs="Arial"/>
          <w:lang w:val="es-AR"/>
        </w:rPr>
      </w:pPr>
      <w:r>
        <w:rPr>
          <w:rFonts w:ascii="Arial" w:hAnsi="Arial" w:cs="Arial"/>
          <w:b/>
          <w:u w:val="single"/>
        </w:rPr>
        <w:t>ARTÍCULO</w:t>
      </w:r>
      <w:r w:rsidR="009E2D73" w:rsidRPr="0073100D">
        <w:rPr>
          <w:rFonts w:ascii="Arial" w:hAnsi="Arial" w:cs="Arial"/>
          <w:b/>
          <w:color w:val="000000"/>
          <w:u w:val="single"/>
        </w:rPr>
        <w:t xml:space="preserve"> 3º:</w:t>
      </w:r>
      <w:r w:rsidR="009E2D73" w:rsidRPr="0073100D">
        <w:rPr>
          <w:rFonts w:ascii="Arial" w:hAnsi="Arial" w:cs="Arial"/>
          <w:color w:val="000000"/>
        </w:rPr>
        <w:t xml:space="preserve"> </w:t>
      </w:r>
      <w:r w:rsidR="009E2D73" w:rsidRPr="0073100D">
        <w:rPr>
          <w:rFonts w:ascii="Arial" w:hAnsi="Arial" w:cs="Arial"/>
          <w:lang w:val="es-AR"/>
        </w:rPr>
        <w:t>Los montos recaudados por los cobros autorizados en la presente, serán destinados a la cuenta 14.1.05.00 – Recupero Venta de Inmuebles.-</w:t>
      </w:r>
    </w:p>
    <w:p w:rsidR="009E2D73" w:rsidRPr="0073100D" w:rsidRDefault="009E2D73" w:rsidP="009E2D73">
      <w:pPr>
        <w:shd w:val="clear" w:color="auto" w:fill="FFFFFF"/>
        <w:jc w:val="both"/>
        <w:rPr>
          <w:rFonts w:ascii="Arial" w:hAnsi="Arial" w:cs="Arial"/>
          <w:color w:val="000000"/>
          <w:lang w:val="es-AR"/>
        </w:rPr>
      </w:pPr>
    </w:p>
    <w:p w:rsidR="009E2D73" w:rsidRPr="0073100D" w:rsidRDefault="00256688" w:rsidP="009E2D73">
      <w:pPr>
        <w:shd w:val="clear" w:color="auto" w:fill="FFFFFF"/>
        <w:jc w:val="both"/>
        <w:rPr>
          <w:rFonts w:ascii="Arial" w:hAnsi="Arial" w:cs="Arial"/>
          <w:color w:val="000000"/>
        </w:rPr>
      </w:pPr>
      <w:r>
        <w:rPr>
          <w:rFonts w:ascii="Arial" w:hAnsi="Arial" w:cs="Arial"/>
          <w:b/>
          <w:u w:val="single"/>
        </w:rPr>
        <w:t>ARTÍCULO</w:t>
      </w:r>
      <w:r w:rsidR="009E2D73" w:rsidRPr="0073100D">
        <w:rPr>
          <w:rFonts w:ascii="Arial" w:hAnsi="Arial" w:cs="Arial"/>
          <w:b/>
          <w:color w:val="000000"/>
          <w:u w:val="single"/>
        </w:rPr>
        <w:t xml:space="preserve"> 4º:</w:t>
      </w:r>
      <w:r w:rsidR="009E2D73" w:rsidRPr="0073100D">
        <w:rPr>
          <w:rFonts w:ascii="Arial" w:hAnsi="Arial" w:cs="Arial"/>
          <w:color w:val="000000"/>
        </w:rPr>
        <w:t xml:space="preserve"> Autorícese al Ejecutivo Municipal a percibir el saldo de precio en caso que el/los adjudicatarios deseen cancelar anticipadamente el total de la deuda por el terreno adjudicado.</w:t>
      </w:r>
      <w:r w:rsidR="009E2D73">
        <w:rPr>
          <w:rFonts w:ascii="Arial" w:hAnsi="Arial" w:cs="Arial"/>
          <w:color w:val="000000"/>
        </w:rPr>
        <w:t>-</w:t>
      </w:r>
    </w:p>
    <w:p w:rsidR="009E2D73" w:rsidRPr="0073100D" w:rsidRDefault="009E2D73" w:rsidP="009E2D73">
      <w:pPr>
        <w:shd w:val="clear" w:color="auto" w:fill="FFFFFF"/>
        <w:jc w:val="both"/>
        <w:rPr>
          <w:rFonts w:ascii="Arial" w:hAnsi="Arial" w:cs="Arial"/>
          <w:color w:val="000000"/>
        </w:rPr>
      </w:pPr>
    </w:p>
    <w:p w:rsidR="009E2D73" w:rsidRPr="0073100D" w:rsidRDefault="009E2D73" w:rsidP="009E2D73">
      <w:pPr>
        <w:jc w:val="both"/>
        <w:rPr>
          <w:rFonts w:ascii="Arial" w:hAnsi="Arial" w:cs="Arial"/>
          <w:b/>
          <w:u w:val="single"/>
          <w:lang w:val="es-AR"/>
        </w:rPr>
      </w:pPr>
      <w:r w:rsidRPr="0073100D">
        <w:rPr>
          <w:rFonts w:ascii="Arial" w:hAnsi="Arial" w:cs="Arial"/>
          <w:b/>
          <w:color w:val="000000"/>
          <w:u w:val="single"/>
        </w:rPr>
        <w:t>ARTICULO 5º:</w:t>
      </w:r>
      <w:r w:rsidR="00256688">
        <w:rPr>
          <w:rFonts w:ascii="Arial" w:hAnsi="Arial" w:cs="Arial"/>
          <w:color w:val="000000"/>
        </w:rPr>
        <w:t xml:space="preserve"> </w:t>
      </w:r>
      <w:r w:rsidRPr="0073100D">
        <w:rPr>
          <w:rFonts w:ascii="Arial" w:hAnsi="Arial" w:cs="Arial"/>
          <w:lang w:val="es-AR"/>
        </w:rPr>
        <w:t>Declár</w:t>
      </w:r>
      <w:r>
        <w:rPr>
          <w:rFonts w:ascii="Arial" w:hAnsi="Arial" w:cs="Arial"/>
          <w:lang w:val="es-AR"/>
        </w:rPr>
        <w:t>e</w:t>
      </w:r>
      <w:r w:rsidRPr="0073100D">
        <w:rPr>
          <w:rFonts w:ascii="Arial" w:hAnsi="Arial" w:cs="Arial"/>
          <w:lang w:val="es-AR"/>
        </w:rPr>
        <w:t>se de Interés Social y requiérase la intervención de la  Escribanía General de Gobierno de la Provincia de Buenos Aires, a los fines del otorgamiento de las Escrituras Traslativas de Dominio de los inmuebles referido en el Artículo 1º, cuyo valor de venta haya sido cancelado, en un todo de acuerdo a lo normado por Ley Nº 10.830.-</w:t>
      </w:r>
    </w:p>
    <w:p w:rsidR="009E2D73" w:rsidRPr="0073100D" w:rsidRDefault="009E2D73" w:rsidP="009E2D73">
      <w:pPr>
        <w:jc w:val="both"/>
        <w:rPr>
          <w:rFonts w:ascii="Arial" w:hAnsi="Arial" w:cs="Arial"/>
          <w:sz w:val="12"/>
          <w:lang w:val="es-AR"/>
        </w:rPr>
      </w:pPr>
    </w:p>
    <w:p w:rsidR="009E2D73" w:rsidRPr="0073100D" w:rsidRDefault="00256688" w:rsidP="009E2D73">
      <w:pPr>
        <w:jc w:val="both"/>
        <w:rPr>
          <w:rFonts w:ascii="Arial" w:hAnsi="Arial" w:cs="Arial"/>
          <w:color w:val="000000"/>
        </w:rPr>
      </w:pPr>
      <w:r>
        <w:rPr>
          <w:rFonts w:ascii="Arial" w:hAnsi="Arial" w:cs="Arial"/>
          <w:b/>
          <w:u w:val="single"/>
        </w:rPr>
        <w:t>ARTÍCULO</w:t>
      </w:r>
      <w:r w:rsidR="009E2D73" w:rsidRPr="0073100D">
        <w:rPr>
          <w:rFonts w:ascii="Arial" w:hAnsi="Arial" w:cs="Arial"/>
          <w:b/>
          <w:u w:val="single"/>
          <w:lang w:val="es-AR"/>
        </w:rPr>
        <w:t xml:space="preserve"> 6º:</w:t>
      </w:r>
      <w:r w:rsidR="009E2D73" w:rsidRPr="0073100D">
        <w:rPr>
          <w:rFonts w:ascii="Arial" w:hAnsi="Arial" w:cs="Arial"/>
          <w:lang w:val="es-AR"/>
        </w:rPr>
        <w:t xml:space="preserve"> El lote que se adjudica deberá ser destinado exclusivamente para vivienda única, asiento del grupo familiar conviviente. Los compradores no podrán transferir por ningún título el inmueble por el término de 10 (diez) años a contar del otorgamiento de la escritura traslativa de dominio</w:t>
      </w:r>
      <w:r w:rsidR="009E2D73" w:rsidRPr="0073100D">
        <w:rPr>
          <w:rFonts w:ascii="Arial" w:hAnsi="Arial" w:cs="Arial"/>
          <w:color w:val="000000"/>
        </w:rPr>
        <w:t>.-</w:t>
      </w:r>
    </w:p>
    <w:p w:rsidR="009E2D73" w:rsidRPr="0073100D" w:rsidRDefault="009E2D73" w:rsidP="009E2D73">
      <w:pPr>
        <w:jc w:val="both"/>
        <w:rPr>
          <w:rFonts w:ascii="Arial" w:hAnsi="Arial" w:cs="Arial"/>
          <w:color w:val="000000"/>
        </w:rPr>
      </w:pPr>
    </w:p>
    <w:p w:rsidR="009E2D73" w:rsidRDefault="00256688" w:rsidP="009E2D73">
      <w:pPr>
        <w:tabs>
          <w:tab w:val="left" w:pos="142"/>
        </w:tabs>
        <w:jc w:val="both"/>
        <w:rPr>
          <w:rFonts w:ascii="Arial" w:hAnsi="Arial" w:cs="Arial"/>
          <w:color w:val="000000"/>
        </w:rPr>
      </w:pPr>
      <w:r>
        <w:rPr>
          <w:rFonts w:ascii="Arial" w:hAnsi="Arial" w:cs="Arial"/>
          <w:b/>
          <w:u w:val="single"/>
        </w:rPr>
        <w:t>ARTÍCULO</w:t>
      </w:r>
      <w:r w:rsidR="009E2D73" w:rsidRPr="0073100D">
        <w:rPr>
          <w:rFonts w:ascii="Arial" w:hAnsi="Arial" w:cs="Arial"/>
          <w:b/>
          <w:color w:val="000000"/>
          <w:u w:val="single"/>
        </w:rPr>
        <w:t xml:space="preserve"> 7°:</w:t>
      </w:r>
      <w:r w:rsidR="009E2D73" w:rsidRPr="0073100D">
        <w:rPr>
          <w:rFonts w:ascii="Arial" w:hAnsi="Arial" w:cs="Arial"/>
          <w:color w:val="000000"/>
        </w:rPr>
        <w:t xml:space="preserve"> Agréguese al listado de adjudicatarios beneficiados con lotes municipales a los solicitantes que han acreditado su condición</w:t>
      </w:r>
      <w:r w:rsidR="009E2D73">
        <w:rPr>
          <w:rFonts w:ascii="Arial" w:hAnsi="Arial" w:cs="Arial"/>
          <w:color w:val="000000"/>
        </w:rPr>
        <w:t>.-</w:t>
      </w:r>
    </w:p>
    <w:p w:rsidR="009E2D73" w:rsidRDefault="009E2D73" w:rsidP="009E2D73">
      <w:pPr>
        <w:tabs>
          <w:tab w:val="left" w:pos="142"/>
        </w:tabs>
        <w:jc w:val="both"/>
        <w:rPr>
          <w:rFonts w:ascii="Arial" w:hAnsi="Arial" w:cs="Arial"/>
          <w:color w:val="000000"/>
        </w:rPr>
      </w:pPr>
    </w:p>
    <w:p w:rsidR="005D61C9" w:rsidRPr="009E14AE" w:rsidRDefault="000C1895" w:rsidP="009E2D73">
      <w:pPr>
        <w:tabs>
          <w:tab w:val="left" w:pos="142"/>
        </w:tabs>
        <w:jc w:val="both"/>
        <w:rPr>
          <w:rFonts w:ascii="Arial" w:hAnsi="Arial" w:cs="Arial"/>
          <w:bCs/>
        </w:rPr>
      </w:pPr>
      <w:r w:rsidRPr="009E14AE">
        <w:rPr>
          <w:rFonts w:ascii="Arial" w:hAnsi="Arial" w:cs="Arial"/>
          <w:b/>
          <w:bCs/>
          <w:u w:val="single"/>
        </w:rPr>
        <w:t>ARTÍCULO</w:t>
      </w:r>
      <w:r w:rsidR="008D5167" w:rsidRPr="009E14AE">
        <w:rPr>
          <w:rFonts w:ascii="Arial" w:hAnsi="Arial" w:cs="Arial"/>
          <w:b/>
          <w:bCs/>
          <w:u w:val="single"/>
        </w:rPr>
        <w:t xml:space="preserve"> </w:t>
      </w:r>
      <w:r w:rsidR="009E2D73">
        <w:rPr>
          <w:rFonts w:ascii="Arial" w:hAnsi="Arial" w:cs="Arial"/>
          <w:b/>
          <w:bCs/>
          <w:u w:val="single"/>
        </w:rPr>
        <w:t>8</w:t>
      </w:r>
      <w:r w:rsidR="002F4D1D" w:rsidRPr="009E14AE">
        <w:rPr>
          <w:rFonts w:ascii="Arial" w:hAnsi="Arial" w:cs="Arial"/>
          <w:b/>
          <w:bCs/>
          <w:u w:val="single"/>
        </w:rPr>
        <w:t>º</w:t>
      </w:r>
      <w:r w:rsidR="00630BF8" w:rsidRPr="009E14AE">
        <w:rPr>
          <w:rFonts w:ascii="Arial" w:hAnsi="Arial" w:cs="Arial"/>
          <w:b/>
          <w:bCs/>
          <w:u w:val="single"/>
        </w:rPr>
        <w:t>:</w:t>
      </w:r>
      <w:r w:rsidR="00630BF8" w:rsidRPr="009E14AE">
        <w:rPr>
          <w:rFonts w:ascii="Arial" w:hAnsi="Arial" w:cs="Arial"/>
        </w:rPr>
        <w:t xml:space="preserve"> </w:t>
      </w:r>
      <w:r w:rsidR="005D61C9" w:rsidRPr="009E14AE">
        <w:rPr>
          <w:rFonts w:ascii="Arial" w:hAnsi="Arial" w:cs="Arial"/>
          <w:bCs/>
        </w:rPr>
        <w:t>Comuníquese, Publíquese, Regístrese y Cumplido: ARCHÍVESE.-</w:t>
      </w:r>
    </w:p>
    <w:p w:rsidR="005D61C9" w:rsidRPr="009E14AE" w:rsidRDefault="005D61C9" w:rsidP="008730E9">
      <w:pPr>
        <w:pStyle w:val="NormalWeb"/>
        <w:spacing w:before="0" w:beforeAutospacing="0" w:after="0" w:afterAutospacing="0"/>
        <w:rPr>
          <w:rFonts w:ascii="Arial" w:hAnsi="Arial" w:cs="Arial"/>
          <w:b/>
          <w:bCs/>
        </w:rPr>
      </w:pPr>
    </w:p>
    <w:p w:rsidR="005D61C9" w:rsidRPr="009E14AE" w:rsidRDefault="005D61C9" w:rsidP="005D61C9">
      <w:pPr>
        <w:pStyle w:val="NormalWeb"/>
        <w:spacing w:before="0" w:beforeAutospacing="0" w:after="0" w:afterAutospacing="0"/>
        <w:jc w:val="both"/>
        <w:rPr>
          <w:rFonts w:ascii="Arial" w:hAnsi="Arial" w:cs="Arial"/>
          <w:b/>
          <w:bCs/>
        </w:rPr>
      </w:pPr>
      <w:r w:rsidRPr="009E14AE">
        <w:rPr>
          <w:rFonts w:ascii="Arial" w:hAnsi="Arial" w:cs="Arial"/>
          <w:b/>
          <w:bCs/>
        </w:rPr>
        <w:t xml:space="preserve">APROBADO POR </w:t>
      </w:r>
      <w:r w:rsidR="00E61765" w:rsidRPr="009E14AE">
        <w:rPr>
          <w:rFonts w:ascii="Arial" w:hAnsi="Arial" w:cs="Arial"/>
          <w:b/>
          <w:bCs/>
        </w:rPr>
        <w:t>UNANIMIDAD</w:t>
      </w:r>
      <w:r w:rsidRPr="009E14AE">
        <w:rPr>
          <w:rFonts w:ascii="Arial" w:hAnsi="Arial" w:cs="Arial"/>
          <w:b/>
          <w:bCs/>
        </w:rPr>
        <w:t>, EN LA SALA DE SESIONES DEL H.C.D</w:t>
      </w:r>
      <w:r w:rsidR="003D5F87" w:rsidRPr="009E14AE">
        <w:rPr>
          <w:rFonts w:ascii="Arial" w:hAnsi="Arial" w:cs="Arial"/>
          <w:b/>
          <w:bCs/>
        </w:rPr>
        <w:t>.</w:t>
      </w:r>
      <w:r w:rsidRPr="009E14AE">
        <w:rPr>
          <w:rFonts w:ascii="Arial" w:hAnsi="Arial" w:cs="Arial"/>
          <w:b/>
          <w:bCs/>
        </w:rPr>
        <w:t xml:space="preserve"> DE TORNQUIST, A LOS</w:t>
      </w:r>
      <w:r w:rsidR="009E14AE" w:rsidRPr="009E14AE">
        <w:rPr>
          <w:rFonts w:ascii="Arial" w:hAnsi="Arial" w:cs="Arial"/>
          <w:b/>
          <w:bCs/>
        </w:rPr>
        <w:t xml:space="preserve"> </w:t>
      </w:r>
      <w:r w:rsidR="009E2D73">
        <w:rPr>
          <w:rFonts w:ascii="Arial" w:hAnsi="Arial" w:cs="Arial"/>
          <w:b/>
          <w:bCs/>
        </w:rPr>
        <w:t>VEINTIUN</w:t>
      </w:r>
      <w:r w:rsidRPr="009E14AE">
        <w:rPr>
          <w:rFonts w:ascii="Arial" w:hAnsi="Arial" w:cs="Arial"/>
          <w:b/>
          <w:bCs/>
        </w:rPr>
        <w:t xml:space="preserve"> </w:t>
      </w:r>
      <w:r w:rsidR="002A45F9">
        <w:rPr>
          <w:rFonts w:ascii="Arial" w:hAnsi="Arial" w:cs="Arial"/>
          <w:b/>
          <w:bCs/>
        </w:rPr>
        <w:t xml:space="preserve">DÍAS </w:t>
      </w:r>
      <w:r w:rsidRPr="009E14AE">
        <w:rPr>
          <w:rFonts w:ascii="Arial" w:hAnsi="Arial" w:cs="Arial"/>
          <w:b/>
          <w:bCs/>
        </w:rPr>
        <w:t xml:space="preserve">DEL MES DE </w:t>
      </w:r>
      <w:r w:rsidR="00F314F1" w:rsidRPr="009E14AE">
        <w:rPr>
          <w:rFonts w:ascii="Arial" w:hAnsi="Arial" w:cs="Arial"/>
          <w:b/>
          <w:bCs/>
        </w:rPr>
        <w:t>JULIO</w:t>
      </w:r>
      <w:r w:rsidRPr="009E14AE">
        <w:rPr>
          <w:rFonts w:ascii="Arial" w:hAnsi="Arial" w:cs="Arial"/>
          <w:b/>
          <w:bCs/>
        </w:rPr>
        <w:t xml:space="preserve"> DEL AÑO DOS MIL VEINTE.-</w:t>
      </w:r>
    </w:p>
    <w:p w:rsidR="003F2C06" w:rsidRPr="009E14AE" w:rsidRDefault="003F2C06" w:rsidP="005D61C9">
      <w:pPr>
        <w:pStyle w:val="NormalWeb"/>
        <w:spacing w:before="0" w:beforeAutospacing="0" w:after="0" w:afterAutospacing="0"/>
        <w:jc w:val="both"/>
        <w:rPr>
          <w:rFonts w:ascii="Arial" w:hAnsi="Arial" w:cs="Arial"/>
          <w:b/>
          <w:bCs/>
        </w:rPr>
      </w:pPr>
    </w:p>
    <w:p w:rsidR="000C0989" w:rsidRPr="009E14AE" w:rsidRDefault="000C0989" w:rsidP="005D61C9">
      <w:pPr>
        <w:pStyle w:val="NormalWeb"/>
        <w:spacing w:before="0" w:beforeAutospacing="0" w:after="0" w:afterAutospacing="0"/>
        <w:jc w:val="both"/>
        <w:rPr>
          <w:rFonts w:ascii="Arial" w:hAnsi="Arial" w:cs="Arial"/>
          <w:b/>
          <w:bCs/>
        </w:rPr>
      </w:pPr>
    </w:p>
    <w:p w:rsidR="00D234C4" w:rsidRPr="009E14AE" w:rsidRDefault="00D234C4" w:rsidP="00D234C4">
      <w:pPr>
        <w:jc w:val="both"/>
        <w:rPr>
          <w:rFonts w:ascii="Arial" w:hAnsi="Arial" w:cs="Arial"/>
          <w:b/>
          <w:bCs/>
        </w:rPr>
      </w:pPr>
    </w:p>
    <w:p w:rsidR="00BA5925" w:rsidRPr="009E14AE" w:rsidRDefault="00BA5925" w:rsidP="00BA5925">
      <w:pPr>
        <w:pStyle w:val="NormalWeb"/>
        <w:spacing w:before="0" w:beforeAutospacing="0" w:after="0" w:afterAutospacing="0"/>
        <w:jc w:val="center"/>
        <w:rPr>
          <w:rFonts w:ascii="Arial" w:hAnsi="Arial" w:cs="Arial"/>
          <w:b/>
          <w:spacing w:val="8"/>
          <w:lang w:val="es-AR"/>
        </w:rPr>
      </w:pPr>
      <w:r w:rsidRPr="009E14AE">
        <w:rPr>
          <w:rFonts w:ascii="Arial" w:hAnsi="Arial" w:cs="Arial"/>
          <w:b/>
          <w:spacing w:val="8"/>
        </w:rPr>
        <w:t>José M. Castro                                         Cristian Raising</w:t>
      </w:r>
    </w:p>
    <w:p w:rsidR="00BA5925" w:rsidRPr="009E14AE" w:rsidRDefault="00BA5925" w:rsidP="00BA5925">
      <w:pPr>
        <w:pStyle w:val="NormalWeb"/>
        <w:spacing w:before="0" w:beforeAutospacing="0" w:after="0" w:afterAutospacing="0"/>
        <w:jc w:val="both"/>
        <w:rPr>
          <w:rFonts w:ascii="Arial" w:hAnsi="Arial" w:cs="Arial"/>
          <w:b/>
          <w:spacing w:val="8"/>
        </w:rPr>
      </w:pPr>
      <w:r w:rsidRPr="009E14AE">
        <w:rPr>
          <w:rFonts w:ascii="Arial" w:hAnsi="Arial" w:cs="Arial"/>
          <w:b/>
          <w:spacing w:val="8"/>
        </w:rPr>
        <w:t xml:space="preserve">               Secretario                                             Vicepresidente 1º</w:t>
      </w:r>
    </w:p>
    <w:p w:rsidR="005D61C9" w:rsidRDefault="00BA5925" w:rsidP="005D61C9">
      <w:pPr>
        <w:pStyle w:val="NormalWeb"/>
        <w:spacing w:before="0" w:beforeAutospacing="0" w:after="0" w:afterAutospacing="0"/>
        <w:jc w:val="both"/>
        <w:rPr>
          <w:rFonts w:ascii="Arial" w:hAnsi="Arial" w:cs="Arial"/>
          <w:b/>
          <w:spacing w:val="8"/>
        </w:rPr>
      </w:pPr>
      <w:r w:rsidRPr="009E14AE">
        <w:rPr>
          <w:rFonts w:ascii="Arial" w:hAnsi="Arial" w:cs="Arial"/>
          <w:b/>
          <w:spacing w:val="8"/>
        </w:rPr>
        <w:t xml:space="preserve">                   H.C.D.                                                     </w:t>
      </w:r>
      <w:r w:rsidRPr="009E14AE">
        <w:rPr>
          <w:rFonts w:ascii="Arial" w:hAnsi="Arial" w:cs="Arial"/>
          <w:b/>
          <w:spacing w:val="8"/>
          <w:lang w:val="es-AR"/>
        </w:rPr>
        <w:t xml:space="preserve">  </w:t>
      </w:r>
      <w:r w:rsidRPr="009E14AE">
        <w:rPr>
          <w:rFonts w:ascii="Arial" w:hAnsi="Arial" w:cs="Arial"/>
          <w:b/>
          <w:spacing w:val="8"/>
        </w:rPr>
        <w:t xml:space="preserve"> H.C.D.</w:t>
      </w: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5D61C9">
      <w:pPr>
        <w:pStyle w:val="NormalWeb"/>
        <w:spacing w:before="0" w:beforeAutospacing="0" w:after="0" w:afterAutospacing="0"/>
        <w:jc w:val="both"/>
        <w:rPr>
          <w:rFonts w:ascii="Arial" w:hAnsi="Arial" w:cs="Arial"/>
          <w:b/>
          <w:spacing w:val="8"/>
        </w:rPr>
      </w:pPr>
    </w:p>
    <w:p w:rsidR="00E3092B" w:rsidRDefault="00E3092B" w:rsidP="00E3092B">
      <w:pPr>
        <w:jc w:val="center"/>
        <w:rPr>
          <w:b/>
          <w:u w:val="single"/>
        </w:rPr>
      </w:pPr>
      <w:r w:rsidRPr="006F2906">
        <w:rPr>
          <w:b/>
          <w:u w:val="single"/>
        </w:rPr>
        <w:t>ANEXO</w:t>
      </w:r>
      <w:r>
        <w:rPr>
          <w:b/>
          <w:u w:val="single"/>
        </w:rPr>
        <w:t xml:space="preserve"> I</w:t>
      </w:r>
    </w:p>
    <w:p w:rsidR="00E3092B" w:rsidRDefault="00E3092B" w:rsidP="00E3092B">
      <w:pPr>
        <w:jc w:val="center"/>
        <w:rPr>
          <w:b/>
          <w:u w:val="single"/>
        </w:rPr>
      </w:pPr>
    </w:p>
    <w:tbl>
      <w:tblPr>
        <w:tblpPr w:leftFromText="141" w:rightFromText="141" w:vertAnchor="text" w:horzAnchor="margin" w:tblpXSpec="center" w:tblpY="9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851"/>
        <w:gridCol w:w="850"/>
        <w:gridCol w:w="709"/>
        <w:gridCol w:w="709"/>
        <w:gridCol w:w="1134"/>
        <w:gridCol w:w="992"/>
        <w:gridCol w:w="992"/>
        <w:gridCol w:w="1134"/>
      </w:tblGrid>
      <w:tr w:rsidR="00E3092B" w:rsidRPr="006F2906" w:rsidTr="00530173">
        <w:trPr>
          <w:trHeight w:val="415"/>
        </w:trPr>
        <w:tc>
          <w:tcPr>
            <w:tcW w:w="2943" w:type="dxa"/>
          </w:tcPr>
          <w:p w:rsidR="00E3092B" w:rsidRPr="006F2906" w:rsidRDefault="00E3092B" w:rsidP="00E218C6">
            <w:pPr>
              <w:jc w:val="center"/>
              <w:rPr>
                <w:rFonts w:ascii="Arial" w:hAnsi="Arial" w:cs="Arial"/>
                <w:b/>
                <w:lang w:val="es-AR"/>
              </w:rPr>
            </w:pPr>
            <w:r>
              <w:rPr>
                <w:rFonts w:ascii="Arial" w:hAnsi="Arial" w:cs="Arial"/>
                <w:b/>
                <w:lang w:val="es-AR"/>
              </w:rPr>
              <w:t>ADJUDICATARIOS</w:t>
            </w:r>
          </w:p>
        </w:tc>
        <w:tc>
          <w:tcPr>
            <w:tcW w:w="851" w:type="dxa"/>
          </w:tcPr>
          <w:p w:rsidR="00E3092B" w:rsidRPr="006F2906" w:rsidRDefault="00E3092B" w:rsidP="00E218C6">
            <w:pPr>
              <w:jc w:val="center"/>
              <w:rPr>
                <w:rFonts w:ascii="Arial" w:hAnsi="Arial" w:cs="Arial"/>
                <w:b/>
                <w:lang w:val="es-AR"/>
              </w:rPr>
            </w:pPr>
            <w:proofErr w:type="spellStart"/>
            <w:r>
              <w:rPr>
                <w:rFonts w:ascii="Arial" w:hAnsi="Arial" w:cs="Arial"/>
                <w:b/>
                <w:lang w:val="es-AR"/>
              </w:rPr>
              <w:t>Circ</w:t>
            </w:r>
            <w:proofErr w:type="spellEnd"/>
            <w:r w:rsidRPr="006F2906">
              <w:rPr>
                <w:rFonts w:ascii="Arial" w:hAnsi="Arial" w:cs="Arial"/>
                <w:b/>
                <w:lang w:val="es-AR"/>
              </w:rPr>
              <w:t>.</w:t>
            </w:r>
          </w:p>
        </w:tc>
        <w:tc>
          <w:tcPr>
            <w:tcW w:w="850" w:type="dxa"/>
          </w:tcPr>
          <w:p w:rsidR="00E3092B" w:rsidRPr="006F2906" w:rsidRDefault="00E3092B" w:rsidP="00E218C6">
            <w:pPr>
              <w:jc w:val="center"/>
              <w:rPr>
                <w:rFonts w:ascii="Arial" w:hAnsi="Arial" w:cs="Arial"/>
                <w:b/>
                <w:szCs w:val="19"/>
                <w:lang w:val="es-AR"/>
              </w:rPr>
            </w:pPr>
            <w:r>
              <w:rPr>
                <w:rFonts w:ascii="Arial" w:hAnsi="Arial" w:cs="Arial"/>
                <w:b/>
                <w:szCs w:val="19"/>
                <w:lang w:val="es-AR"/>
              </w:rPr>
              <w:t>Secc.</w:t>
            </w:r>
          </w:p>
        </w:tc>
        <w:tc>
          <w:tcPr>
            <w:tcW w:w="709" w:type="dxa"/>
          </w:tcPr>
          <w:p w:rsidR="00E3092B" w:rsidRPr="006F2906" w:rsidRDefault="00E3092B" w:rsidP="00E218C6">
            <w:pPr>
              <w:jc w:val="center"/>
              <w:rPr>
                <w:rFonts w:ascii="Arial" w:hAnsi="Arial" w:cs="Arial"/>
                <w:b/>
                <w:sz w:val="19"/>
                <w:szCs w:val="19"/>
                <w:lang w:val="es-AR"/>
              </w:rPr>
            </w:pPr>
            <w:proofErr w:type="spellStart"/>
            <w:r>
              <w:rPr>
                <w:rFonts w:ascii="Arial" w:hAnsi="Arial" w:cs="Arial"/>
                <w:b/>
                <w:szCs w:val="19"/>
                <w:lang w:val="es-AR"/>
              </w:rPr>
              <w:t>Mz</w:t>
            </w:r>
            <w:proofErr w:type="spellEnd"/>
          </w:p>
        </w:tc>
        <w:tc>
          <w:tcPr>
            <w:tcW w:w="709" w:type="dxa"/>
          </w:tcPr>
          <w:p w:rsidR="00E3092B" w:rsidRDefault="00E3092B" w:rsidP="00E218C6">
            <w:pPr>
              <w:jc w:val="center"/>
              <w:rPr>
                <w:rFonts w:ascii="Arial" w:hAnsi="Arial" w:cs="Arial"/>
                <w:b/>
                <w:sz w:val="20"/>
                <w:szCs w:val="21"/>
                <w:lang w:val="es-AR"/>
              </w:rPr>
            </w:pPr>
            <w:r>
              <w:rPr>
                <w:rFonts w:ascii="Arial" w:hAnsi="Arial" w:cs="Arial"/>
                <w:b/>
                <w:sz w:val="20"/>
                <w:szCs w:val="21"/>
                <w:lang w:val="es-AR"/>
              </w:rPr>
              <w:t>Pla.</w:t>
            </w:r>
          </w:p>
        </w:tc>
        <w:tc>
          <w:tcPr>
            <w:tcW w:w="1134" w:type="dxa"/>
          </w:tcPr>
          <w:p w:rsidR="00E3092B" w:rsidRPr="006F2906" w:rsidRDefault="00E3092B" w:rsidP="00E218C6">
            <w:pPr>
              <w:jc w:val="center"/>
              <w:rPr>
                <w:rFonts w:ascii="Arial" w:hAnsi="Arial" w:cs="Arial"/>
                <w:b/>
                <w:sz w:val="20"/>
                <w:szCs w:val="21"/>
                <w:lang w:val="es-AR"/>
              </w:rPr>
            </w:pPr>
            <w:r>
              <w:rPr>
                <w:rFonts w:ascii="Arial" w:hAnsi="Arial" w:cs="Arial"/>
                <w:b/>
                <w:sz w:val="20"/>
                <w:szCs w:val="21"/>
                <w:lang w:val="es-AR"/>
              </w:rPr>
              <w:t xml:space="preserve">Tasación </w:t>
            </w:r>
          </w:p>
        </w:tc>
        <w:tc>
          <w:tcPr>
            <w:tcW w:w="992" w:type="dxa"/>
          </w:tcPr>
          <w:p w:rsidR="00E3092B" w:rsidRDefault="00E3092B" w:rsidP="00530173">
            <w:pPr>
              <w:jc w:val="center"/>
              <w:rPr>
                <w:rFonts w:ascii="Arial" w:hAnsi="Arial" w:cs="Arial"/>
                <w:b/>
                <w:sz w:val="20"/>
                <w:szCs w:val="21"/>
                <w:lang w:val="es-AR"/>
              </w:rPr>
            </w:pPr>
            <w:proofErr w:type="spellStart"/>
            <w:r>
              <w:rPr>
                <w:rFonts w:ascii="Arial" w:hAnsi="Arial" w:cs="Arial"/>
                <w:b/>
                <w:sz w:val="20"/>
                <w:szCs w:val="21"/>
                <w:lang w:val="es-AR"/>
              </w:rPr>
              <w:t>Cant</w:t>
            </w:r>
            <w:proofErr w:type="spellEnd"/>
            <w:r>
              <w:rPr>
                <w:rFonts w:ascii="Arial" w:hAnsi="Arial" w:cs="Arial"/>
                <w:b/>
                <w:sz w:val="20"/>
                <w:szCs w:val="21"/>
                <w:lang w:val="es-AR"/>
              </w:rPr>
              <w:t xml:space="preserve">. </w:t>
            </w:r>
            <w:r w:rsidR="00530173">
              <w:rPr>
                <w:rFonts w:ascii="Arial" w:hAnsi="Arial" w:cs="Arial"/>
                <w:b/>
                <w:sz w:val="20"/>
                <w:szCs w:val="21"/>
                <w:lang w:val="es-AR"/>
              </w:rPr>
              <w:t>d</w:t>
            </w:r>
            <w:r>
              <w:rPr>
                <w:rFonts w:ascii="Arial" w:hAnsi="Arial" w:cs="Arial"/>
                <w:b/>
                <w:sz w:val="20"/>
                <w:szCs w:val="21"/>
                <w:lang w:val="es-AR"/>
              </w:rPr>
              <w:t>e</w:t>
            </w:r>
          </w:p>
          <w:p w:rsidR="00E3092B" w:rsidRDefault="00530173" w:rsidP="00530173">
            <w:pPr>
              <w:jc w:val="center"/>
              <w:rPr>
                <w:rFonts w:ascii="Arial" w:hAnsi="Arial" w:cs="Arial"/>
                <w:b/>
                <w:sz w:val="20"/>
                <w:szCs w:val="21"/>
                <w:lang w:val="es-AR"/>
              </w:rPr>
            </w:pPr>
            <w:r>
              <w:rPr>
                <w:rFonts w:ascii="Arial" w:hAnsi="Arial" w:cs="Arial"/>
                <w:b/>
                <w:sz w:val="20"/>
                <w:szCs w:val="21"/>
                <w:lang w:val="es-AR"/>
              </w:rPr>
              <w:t>Cuotas</w:t>
            </w:r>
          </w:p>
        </w:tc>
        <w:tc>
          <w:tcPr>
            <w:tcW w:w="992" w:type="dxa"/>
          </w:tcPr>
          <w:p w:rsidR="00E3092B" w:rsidRDefault="00E3092B" w:rsidP="00530173">
            <w:pPr>
              <w:jc w:val="center"/>
              <w:rPr>
                <w:rFonts w:ascii="Arial" w:hAnsi="Arial" w:cs="Arial"/>
                <w:b/>
                <w:sz w:val="20"/>
                <w:szCs w:val="21"/>
                <w:lang w:val="es-AR"/>
              </w:rPr>
            </w:pPr>
            <w:r>
              <w:rPr>
                <w:rFonts w:ascii="Arial" w:hAnsi="Arial" w:cs="Arial"/>
                <w:b/>
                <w:sz w:val="20"/>
                <w:szCs w:val="21"/>
                <w:lang w:val="es-AR"/>
              </w:rPr>
              <w:t>Valor Cuota</w:t>
            </w:r>
          </w:p>
        </w:tc>
        <w:tc>
          <w:tcPr>
            <w:tcW w:w="1134" w:type="dxa"/>
          </w:tcPr>
          <w:p w:rsidR="00E3092B" w:rsidRDefault="00E3092B" w:rsidP="00530173">
            <w:pPr>
              <w:jc w:val="center"/>
              <w:rPr>
                <w:rFonts w:ascii="Arial" w:hAnsi="Arial" w:cs="Arial"/>
                <w:b/>
                <w:sz w:val="20"/>
                <w:szCs w:val="21"/>
                <w:lang w:val="es-AR"/>
              </w:rPr>
            </w:pPr>
            <w:r>
              <w:rPr>
                <w:rFonts w:ascii="Arial" w:hAnsi="Arial" w:cs="Arial"/>
                <w:b/>
                <w:sz w:val="20"/>
                <w:szCs w:val="21"/>
                <w:lang w:val="es-AR"/>
              </w:rPr>
              <w:t>Fs.</w:t>
            </w:r>
          </w:p>
        </w:tc>
      </w:tr>
      <w:tr w:rsidR="00E3092B" w:rsidRPr="006F2906" w:rsidTr="00530173">
        <w:trPr>
          <w:trHeight w:val="416"/>
        </w:trPr>
        <w:tc>
          <w:tcPr>
            <w:tcW w:w="2943" w:type="dxa"/>
          </w:tcPr>
          <w:p w:rsidR="00E3092B" w:rsidRPr="00F01A6C" w:rsidRDefault="00E3092B" w:rsidP="00E218C6">
            <w:pPr>
              <w:rPr>
                <w:rFonts w:ascii="Arial" w:hAnsi="Arial" w:cs="Arial"/>
                <w:b/>
                <w:lang w:val="es-AR"/>
              </w:rPr>
            </w:pPr>
            <w:r w:rsidRPr="00530173">
              <w:rPr>
                <w:rFonts w:ascii="Arial" w:hAnsi="Arial" w:cs="Arial"/>
                <w:b/>
                <w:sz w:val="22"/>
                <w:lang w:val="es-AR"/>
              </w:rPr>
              <w:t xml:space="preserve">AGUILERA, Valeria Beatriz y ESQUIVEL,  Oscar Alberto  </w:t>
            </w:r>
          </w:p>
        </w:tc>
        <w:tc>
          <w:tcPr>
            <w:tcW w:w="851" w:type="dxa"/>
          </w:tcPr>
          <w:p w:rsidR="00E3092B" w:rsidRPr="006F2906" w:rsidRDefault="00E3092B" w:rsidP="00E218C6">
            <w:pPr>
              <w:jc w:val="center"/>
              <w:rPr>
                <w:rFonts w:ascii="Arial" w:hAnsi="Arial" w:cs="Arial"/>
                <w:lang w:val="es-AR"/>
              </w:rPr>
            </w:pPr>
            <w:r>
              <w:rPr>
                <w:rFonts w:ascii="Arial" w:hAnsi="Arial" w:cs="Arial"/>
                <w:lang w:val="es-AR"/>
              </w:rPr>
              <w:t>I</w:t>
            </w:r>
          </w:p>
        </w:tc>
        <w:tc>
          <w:tcPr>
            <w:tcW w:w="850" w:type="dxa"/>
          </w:tcPr>
          <w:p w:rsidR="00E3092B" w:rsidRPr="006F2906" w:rsidRDefault="00E3092B" w:rsidP="00E218C6">
            <w:pPr>
              <w:jc w:val="center"/>
              <w:rPr>
                <w:rFonts w:ascii="Arial" w:hAnsi="Arial" w:cs="Arial"/>
                <w:lang w:val="es-AR"/>
              </w:rPr>
            </w:pPr>
            <w:r>
              <w:rPr>
                <w:rFonts w:ascii="Arial" w:hAnsi="Arial" w:cs="Arial"/>
                <w:lang w:val="es-AR"/>
              </w:rPr>
              <w:t>B</w:t>
            </w:r>
          </w:p>
        </w:tc>
        <w:tc>
          <w:tcPr>
            <w:tcW w:w="709" w:type="dxa"/>
          </w:tcPr>
          <w:p w:rsidR="00E3092B" w:rsidRPr="006F2906" w:rsidRDefault="00E3092B" w:rsidP="00E218C6">
            <w:pPr>
              <w:jc w:val="center"/>
              <w:rPr>
                <w:rFonts w:ascii="Arial" w:hAnsi="Arial" w:cs="Arial"/>
                <w:lang w:val="es-AR"/>
              </w:rPr>
            </w:pPr>
            <w:r>
              <w:rPr>
                <w:rFonts w:ascii="Arial" w:hAnsi="Arial" w:cs="Arial"/>
                <w:lang w:val="es-AR"/>
              </w:rPr>
              <w:t>168</w:t>
            </w:r>
          </w:p>
        </w:tc>
        <w:tc>
          <w:tcPr>
            <w:tcW w:w="709" w:type="dxa"/>
          </w:tcPr>
          <w:p w:rsidR="00E3092B" w:rsidRPr="006F2906" w:rsidRDefault="00E3092B" w:rsidP="00E218C6">
            <w:pPr>
              <w:jc w:val="center"/>
              <w:rPr>
                <w:rFonts w:ascii="Arial" w:hAnsi="Arial" w:cs="Arial"/>
                <w:lang w:val="es-AR"/>
              </w:rPr>
            </w:pPr>
            <w:r>
              <w:rPr>
                <w:rFonts w:ascii="Arial" w:hAnsi="Arial" w:cs="Arial"/>
                <w:lang w:val="es-AR"/>
              </w:rPr>
              <w:t>6</w:t>
            </w:r>
          </w:p>
        </w:tc>
        <w:tc>
          <w:tcPr>
            <w:tcW w:w="1134" w:type="dxa"/>
          </w:tcPr>
          <w:p w:rsidR="00E3092B" w:rsidRPr="006F2906" w:rsidRDefault="00E3092B" w:rsidP="00E218C6">
            <w:pPr>
              <w:jc w:val="center"/>
              <w:rPr>
                <w:rFonts w:ascii="Arial" w:hAnsi="Arial" w:cs="Arial"/>
                <w:lang w:val="es-AR"/>
              </w:rPr>
            </w:pPr>
            <w:r>
              <w:rPr>
                <w:rFonts w:ascii="Arial" w:hAnsi="Arial" w:cs="Arial"/>
                <w:lang w:val="es-AR"/>
              </w:rPr>
              <w:t>$80.000</w:t>
            </w:r>
          </w:p>
        </w:tc>
        <w:tc>
          <w:tcPr>
            <w:tcW w:w="992" w:type="dxa"/>
          </w:tcPr>
          <w:p w:rsidR="00E3092B" w:rsidRPr="006F2906" w:rsidRDefault="00E3092B" w:rsidP="00E218C6">
            <w:pPr>
              <w:jc w:val="center"/>
              <w:rPr>
                <w:rFonts w:ascii="Arial" w:hAnsi="Arial" w:cs="Arial"/>
                <w:lang w:val="es-AR"/>
              </w:rPr>
            </w:pPr>
            <w:r>
              <w:rPr>
                <w:rFonts w:ascii="Arial" w:hAnsi="Arial" w:cs="Arial"/>
                <w:lang w:val="es-AR"/>
              </w:rPr>
              <w:t>54</w:t>
            </w:r>
          </w:p>
        </w:tc>
        <w:tc>
          <w:tcPr>
            <w:tcW w:w="992" w:type="dxa"/>
          </w:tcPr>
          <w:p w:rsidR="00E3092B" w:rsidRPr="006F2906" w:rsidRDefault="00E3092B" w:rsidP="00E218C6">
            <w:pPr>
              <w:jc w:val="center"/>
              <w:rPr>
                <w:rFonts w:ascii="Arial" w:hAnsi="Arial" w:cs="Arial"/>
                <w:lang w:val="es-AR"/>
              </w:rPr>
            </w:pPr>
            <w:r>
              <w:rPr>
                <w:rFonts w:ascii="Arial" w:hAnsi="Arial" w:cs="Arial"/>
                <w:lang w:val="es-AR"/>
              </w:rPr>
              <w:t>$1.482-</w:t>
            </w:r>
          </w:p>
        </w:tc>
        <w:tc>
          <w:tcPr>
            <w:tcW w:w="1134" w:type="dxa"/>
          </w:tcPr>
          <w:p w:rsidR="00E3092B" w:rsidRDefault="00E3092B" w:rsidP="00E218C6">
            <w:pPr>
              <w:jc w:val="center"/>
              <w:rPr>
                <w:rFonts w:ascii="Arial" w:hAnsi="Arial" w:cs="Arial"/>
                <w:lang w:val="es-AR"/>
              </w:rPr>
            </w:pPr>
            <w:r>
              <w:rPr>
                <w:rFonts w:ascii="Arial" w:hAnsi="Arial" w:cs="Arial"/>
                <w:lang w:val="es-AR"/>
              </w:rPr>
              <w:t>898/911</w:t>
            </w:r>
          </w:p>
        </w:tc>
      </w:tr>
    </w:tbl>
    <w:p w:rsidR="00E3092B" w:rsidRPr="006F2906" w:rsidRDefault="00E3092B" w:rsidP="00E3092B">
      <w:pPr>
        <w:jc w:val="center"/>
      </w:pPr>
    </w:p>
    <w:p w:rsidR="00E3092B" w:rsidRPr="009E14AE" w:rsidRDefault="00E3092B" w:rsidP="005D61C9">
      <w:pPr>
        <w:pStyle w:val="NormalWeb"/>
        <w:spacing w:before="0" w:beforeAutospacing="0" w:after="0" w:afterAutospacing="0"/>
        <w:jc w:val="both"/>
        <w:rPr>
          <w:rFonts w:ascii="Arial" w:hAnsi="Arial" w:cs="Arial"/>
          <w:b/>
          <w:bCs/>
          <w:lang w:val="en-US"/>
        </w:rPr>
      </w:pPr>
    </w:p>
    <w:sectPr w:rsidR="00E3092B" w:rsidRPr="009E14AE" w:rsidSect="00D35EA9">
      <w:headerReference w:type="default" r:id="rId7"/>
      <w:pgSz w:w="12242" w:h="18722" w:code="281"/>
      <w:pgMar w:top="2268" w:right="1134" w:bottom="567"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151F" w:rsidRDefault="0059151F">
      <w:r>
        <w:separator/>
      </w:r>
    </w:p>
  </w:endnote>
  <w:endnote w:type="continuationSeparator" w:id="0">
    <w:p w:rsidR="0059151F" w:rsidRDefault="0059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151F" w:rsidRDefault="0059151F">
      <w:r>
        <w:separator/>
      </w:r>
    </w:p>
  </w:footnote>
  <w:footnote w:type="continuationSeparator" w:id="0">
    <w:p w:rsidR="0059151F" w:rsidRDefault="00591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C34" w:rsidRDefault="004A7C8C">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44EB8"/>
    <w:multiLevelType w:val="hybridMultilevel"/>
    <w:tmpl w:val="20024F0E"/>
    <w:lvl w:ilvl="0" w:tplc="1644AE6E">
      <w:start w:val="1"/>
      <w:numFmt w:val="decimal"/>
      <w:lvlText w:val="%1)"/>
      <w:lvlJc w:val="left"/>
      <w:pPr>
        <w:ind w:left="528" w:hanging="384"/>
      </w:pPr>
      <w:rPr>
        <w:rFonts w:hint="default"/>
        <w:b/>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1" w15:restartNumberingAfterBreak="0">
    <w:nsid w:val="57FD49B6"/>
    <w:multiLevelType w:val="hybridMultilevel"/>
    <w:tmpl w:val="3A040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03F48"/>
    <w:rsid w:val="00072F46"/>
    <w:rsid w:val="00097ACF"/>
    <w:rsid w:val="00097F44"/>
    <w:rsid w:val="000A668E"/>
    <w:rsid w:val="000C0989"/>
    <w:rsid w:val="000C1895"/>
    <w:rsid w:val="000C25C2"/>
    <w:rsid w:val="000C5E04"/>
    <w:rsid w:val="000E1B0F"/>
    <w:rsid w:val="000E69A4"/>
    <w:rsid w:val="000F369C"/>
    <w:rsid w:val="000F5E3D"/>
    <w:rsid w:val="00103295"/>
    <w:rsid w:val="001254DA"/>
    <w:rsid w:val="00132FF0"/>
    <w:rsid w:val="001502DD"/>
    <w:rsid w:val="001513E8"/>
    <w:rsid w:val="00154D9F"/>
    <w:rsid w:val="00187C34"/>
    <w:rsid w:val="001A362D"/>
    <w:rsid w:val="001B0A71"/>
    <w:rsid w:val="001C5AE3"/>
    <w:rsid w:val="001D0B0B"/>
    <w:rsid w:val="001E372C"/>
    <w:rsid w:val="001F11BA"/>
    <w:rsid w:val="001F4E9A"/>
    <w:rsid w:val="0020420E"/>
    <w:rsid w:val="002319F2"/>
    <w:rsid w:val="00256688"/>
    <w:rsid w:val="00266D95"/>
    <w:rsid w:val="00276F48"/>
    <w:rsid w:val="00297E57"/>
    <w:rsid w:val="002A45F9"/>
    <w:rsid w:val="002B31A1"/>
    <w:rsid w:val="002C54A4"/>
    <w:rsid w:val="002D157D"/>
    <w:rsid w:val="002F4D1D"/>
    <w:rsid w:val="00300128"/>
    <w:rsid w:val="00302BBF"/>
    <w:rsid w:val="00323D53"/>
    <w:rsid w:val="00323DAD"/>
    <w:rsid w:val="00350767"/>
    <w:rsid w:val="00364100"/>
    <w:rsid w:val="0037098D"/>
    <w:rsid w:val="00375FB2"/>
    <w:rsid w:val="00393EAE"/>
    <w:rsid w:val="00396BF4"/>
    <w:rsid w:val="003D5F87"/>
    <w:rsid w:val="003E0886"/>
    <w:rsid w:val="003E55F7"/>
    <w:rsid w:val="003E63E5"/>
    <w:rsid w:val="003F2C06"/>
    <w:rsid w:val="00406214"/>
    <w:rsid w:val="00425C3B"/>
    <w:rsid w:val="004278C0"/>
    <w:rsid w:val="004308D9"/>
    <w:rsid w:val="00440F88"/>
    <w:rsid w:val="00441883"/>
    <w:rsid w:val="00482B2D"/>
    <w:rsid w:val="004A7C8C"/>
    <w:rsid w:val="004B1787"/>
    <w:rsid w:val="004B591C"/>
    <w:rsid w:val="004C2019"/>
    <w:rsid w:val="004C3CB9"/>
    <w:rsid w:val="004D3CE1"/>
    <w:rsid w:val="004D4923"/>
    <w:rsid w:val="004E6CC5"/>
    <w:rsid w:val="004E7C87"/>
    <w:rsid w:val="005256FF"/>
    <w:rsid w:val="00530173"/>
    <w:rsid w:val="00553590"/>
    <w:rsid w:val="00572B2D"/>
    <w:rsid w:val="005804B6"/>
    <w:rsid w:val="00586253"/>
    <w:rsid w:val="0059151F"/>
    <w:rsid w:val="00593DDA"/>
    <w:rsid w:val="00594DBB"/>
    <w:rsid w:val="005A098D"/>
    <w:rsid w:val="005C319C"/>
    <w:rsid w:val="005C586E"/>
    <w:rsid w:val="005D61C9"/>
    <w:rsid w:val="005E20DE"/>
    <w:rsid w:val="005F4CA9"/>
    <w:rsid w:val="00630BF8"/>
    <w:rsid w:val="00630EB3"/>
    <w:rsid w:val="00630FDA"/>
    <w:rsid w:val="00650634"/>
    <w:rsid w:val="0065069B"/>
    <w:rsid w:val="00657430"/>
    <w:rsid w:val="00657AAA"/>
    <w:rsid w:val="0066243B"/>
    <w:rsid w:val="00671ABF"/>
    <w:rsid w:val="00677778"/>
    <w:rsid w:val="00677DA8"/>
    <w:rsid w:val="006830CD"/>
    <w:rsid w:val="006948B5"/>
    <w:rsid w:val="00695580"/>
    <w:rsid w:val="006C22E5"/>
    <w:rsid w:val="006E228E"/>
    <w:rsid w:val="006E2CF8"/>
    <w:rsid w:val="006E6038"/>
    <w:rsid w:val="0071111E"/>
    <w:rsid w:val="00714B98"/>
    <w:rsid w:val="00726C97"/>
    <w:rsid w:val="00727E01"/>
    <w:rsid w:val="007327FB"/>
    <w:rsid w:val="00734C7D"/>
    <w:rsid w:val="00736AD5"/>
    <w:rsid w:val="007462D0"/>
    <w:rsid w:val="00746DCB"/>
    <w:rsid w:val="00756341"/>
    <w:rsid w:val="00760A0F"/>
    <w:rsid w:val="00772386"/>
    <w:rsid w:val="007811C0"/>
    <w:rsid w:val="00790166"/>
    <w:rsid w:val="007B078A"/>
    <w:rsid w:val="007C01BB"/>
    <w:rsid w:val="007D2808"/>
    <w:rsid w:val="007D6B51"/>
    <w:rsid w:val="00817A70"/>
    <w:rsid w:val="00826263"/>
    <w:rsid w:val="00835166"/>
    <w:rsid w:val="00846F0C"/>
    <w:rsid w:val="008730E9"/>
    <w:rsid w:val="00880C34"/>
    <w:rsid w:val="00881F93"/>
    <w:rsid w:val="008947AC"/>
    <w:rsid w:val="008A1863"/>
    <w:rsid w:val="008A3229"/>
    <w:rsid w:val="008D5167"/>
    <w:rsid w:val="008E0817"/>
    <w:rsid w:val="00902D6F"/>
    <w:rsid w:val="00907CB7"/>
    <w:rsid w:val="0091530D"/>
    <w:rsid w:val="009177A7"/>
    <w:rsid w:val="009260E3"/>
    <w:rsid w:val="009B0AEA"/>
    <w:rsid w:val="009D3323"/>
    <w:rsid w:val="009E14AE"/>
    <w:rsid w:val="009E2D73"/>
    <w:rsid w:val="009E75D0"/>
    <w:rsid w:val="009F5884"/>
    <w:rsid w:val="00A139F7"/>
    <w:rsid w:val="00A25085"/>
    <w:rsid w:val="00A2775E"/>
    <w:rsid w:val="00A508D5"/>
    <w:rsid w:val="00A539AF"/>
    <w:rsid w:val="00A6292A"/>
    <w:rsid w:val="00A85F33"/>
    <w:rsid w:val="00A94764"/>
    <w:rsid w:val="00AA7865"/>
    <w:rsid w:val="00AB2A30"/>
    <w:rsid w:val="00AB4C1C"/>
    <w:rsid w:val="00AE0FC0"/>
    <w:rsid w:val="00B11D5B"/>
    <w:rsid w:val="00B36BB8"/>
    <w:rsid w:val="00B4652D"/>
    <w:rsid w:val="00B545E6"/>
    <w:rsid w:val="00B61DB7"/>
    <w:rsid w:val="00B6776E"/>
    <w:rsid w:val="00B7043C"/>
    <w:rsid w:val="00B7579B"/>
    <w:rsid w:val="00B96018"/>
    <w:rsid w:val="00BA5925"/>
    <w:rsid w:val="00BB6AC1"/>
    <w:rsid w:val="00BB6E28"/>
    <w:rsid w:val="00BE1185"/>
    <w:rsid w:val="00C06D6B"/>
    <w:rsid w:val="00C11FF3"/>
    <w:rsid w:val="00C14246"/>
    <w:rsid w:val="00C31B33"/>
    <w:rsid w:val="00C36911"/>
    <w:rsid w:val="00C4309F"/>
    <w:rsid w:val="00C60600"/>
    <w:rsid w:val="00C91881"/>
    <w:rsid w:val="00CB7EB8"/>
    <w:rsid w:val="00D04298"/>
    <w:rsid w:val="00D06E4A"/>
    <w:rsid w:val="00D10CE9"/>
    <w:rsid w:val="00D234C4"/>
    <w:rsid w:val="00D350A1"/>
    <w:rsid w:val="00D35EA9"/>
    <w:rsid w:val="00D365EE"/>
    <w:rsid w:val="00D4510B"/>
    <w:rsid w:val="00D81161"/>
    <w:rsid w:val="00DB035D"/>
    <w:rsid w:val="00DB5DB7"/>
    <w:rsid w:val="00DC5759"/>
    <w:rsid w:val="00DC79BE"/>
    <w:rsid w:val="00DE5698"/>
    <w:rsid w:val="00DF0719"/>
    <w:rsid w:val="00DF0C3F"/>
    <w:rsid w:val="00DF6121"/>
    <w:rsid w:val="00DF7DD2"/>
    <w:rsid w:val="00E218C6"/>
    <w:rsid w:val="00E3092B"/>
    <w:rsid w:val="00E35A8C"/>
    <w:rsid w:val="00E36D1D"/>
    <w:rsid w:val="00E61765"/>
    <w:rsid w:val="00E6482A"/>
    <w:rsid w:val="00E648DB"/>
    <w:rsid w:val="00E7141C"/>
    <w:rsid w:val="00E80FE7"/>
    <w:rsid w:val="00E832F5"/>
    <w:rsid w:val="00E84133"/>
    <w:rsid w:val="00E95E00"/>
    <w:rsid w:val="00EB1DAA"/>
    <w:rsid w:val="00EC362F"/>
    <w:rsid w:val="00EC5F93"/>
    <w:rsid w:val="00ED7AA6"/>
    <w:rsid w:val="00EE7FE4"/>
    <w:rsid w:val="00F00F3A"/>
    <w:rsid w:val="00F116EF"/>
    <w:rsid w:val="00F160F0"/>
    <w:rsid w:val="00F23B4E"/>
    <w:rsid w:val="00F277AC"/>
    <w:rsid w:val="00F278D1"/>
    <w:rsid w:val="00F314F1"/>
    <w:rsid w:val="00F3268A"/>
    <w:rsid w:val="00F43B13"/>
    <w:rsid w:val="00F53C6F"/>
    <w:rsid w:val="00F66FDF"/>
    <w:rsid w:val="00F935AA"/>
    <w:rsid w:val="00FA5971"/>
    <w:rsid w:val="00FC1660"/>
    <w:rsid w:val="00FC77D9"/>
    <w:rsid w:val="00FE49C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25C1E63-B329-40EC-974E-EF6C20CB3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paragraph" w:customStyle="1" w:styleId="Default">
    <w:name w:val="Default"/>
    <w:rsid w:val="00A2775E"/>
    <w:pPr>
      <w:autoSpaceDE w:val="0"/>
      <w:autoSpaceDN w:val="0"/>
      <w:adjustRightInd w:val="0"/>
    </w:pPr>
    <w:rPr>
      <w:rFonts w:ascii="Verdana" w:eastAsia="Calibri" w:hAnsi="Verdana" w:cs="Verdana"/>
      <w:color w:val="000000"/>
      <w:sz w:val="24"/>
      <w:szCs w:val="24"/>
      <w:lang w:eastAsia="en-US"/>
    </w:rPr>
  </w:style>
  <w:style w:type="paragraph" w:styleId="Textoindependiente">
    <w:name w:val="Body Text"/>
    <w:basedOn w:val="Normal"/>
    <w:link w:val="TextoindependienteCar"/>
    <w:rsid w:val="007811C0"/>
    <w:pPr>
      <w:spacing w:after="120"/>
    </w:pPr>
  </w:style>
  <w:style w:type="character" w:customStyle="1" w:styleId="TextoindependienteCar">
    <w:name w:val="Texto independiente Car"/>
    <w:basedOn w:val="Fuentedeprrafopredeter"/>
    <w:link w:val="Textoindependiente"/>
    <w:rsid w:val="007811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 w:id="1472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696</Words>
  <Characters>3832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8</cp:revision>
  <cp:lastPrinted>2020-07-21T17:11:00Z</cp:lastPrinted>
  <dcterms:created xsi:type="dcterms:W3CDTF">2021-05-11T21:08:00Z</dcterms:created>
  <dcterms:modified xsi:type="dcterms:W3CDTF">2021-05-11T21:08:00Z</dcterms:modified>
</cp:coreProperties>
</file>